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DC" w:rsidRDefault="004925DC" w:rsidP="004925DC">
      <w:pPr>
        <w:jc w:val="right"/>
        <w:rPr>
          <w:b/>
        </w:rPr>
      </w:pPr>
      <w:r>
        <w:rPr>
          <w:b/>
        </w:rPr>
        <w:t>PROGRESS REPORT TO CTRI, September 2019</w:t>
      </w:r>
    </w:p>
    <w:p w:rsidR="004925DC" w:rsidRDefault="004925DC" w:rsidP="004925DC">
      <w:r>
        <w:rPr>
          <w:b/>
        </w:rPr>
        <w:t xml:space="preserve">Project Title:  </w:t>
      </w:r>
      <w:r w:rsidRPr="00C2423C">
        <w:t xml:space="preserve">Optimizing Potassium </w:t>
      </w:r>
      <w:r>
        <w:t>Fertilizer Uptake Efficiency while</w:t>
      </w:r>
      <w:r w:rsidRPr="00C2423C">
        <w:t xml:space="preserve"> Minimizing Costs in Processing Tomato</w:t>
      </w:r>
    </w:p>
    <w:p w:rsidR="00DB136F" w:rsidRDefault="004925DC">
      <w:r>
        <w:rPr>
          <w:b/>
        </w:rPr>
        <w:t xml:space="preserve">Principal Investigator:  </w:t>
      </w:r>
      <w:r>
        <w:t>Nicole Tautges, Chief Scientist, Russell Ranch Sustainable Agriculture Facility, UC Davis; Brenna Aegerter, Farm Advisor, UC Cooperative Extension San Joaquin County</w:t>
      </w:r>
    </w:p>
    <w:p w:rsidR="004925DC" w:rsidRDefault="004925DC" w:rsidP="004925DC">
      <w:r>
        <w:rPr>
          <w:b/>
        </w:rPr>
        <w:t xml:space="preserve">Cooperating Personnel:  </w:t>
      </w:r>
      <w:r w:rsidR="00E1613D">
        <w:t xml:space="preserve">Israel Herrera, Farm Manager, Department of Plant Sciences, UC Davis; </w:t>
      </w:r>
      <w:r w:rsidR="0023330B">
        <w:t>Richard Marchini, Marchini Ag, San Joaquin County</w:t>
      </w:r>
    </w:p>
    <w:p w:rsidR="004925DC" w:rsidRDefault="004925DC" w:rsidP="004925DC">
      <w:r>
        <w:rPr>
          <w:b/>
        </w:rPr>
        <w:t xml:space="preserve">Key Takeaways at this date:  </w:t>
      </w:r>
      <w:r>
        <w:t>Application of potassium fertilizer early in the season, w</w:t>
      </w:r>
      <w:r w:rsidR="00C940EC">
        <w:t>hether it was fall-incorporated</w:t>
      </w:r>
      <w:r>
        <w:t xml:space="preserve"> or applied via fertigation at 30 days after transplanting, increased tomato yields at the Russell Ranch</w:t>
      </w:r>
      <w:r w:rsidR="00C940EC">
        <w:t xml:space="preserve"> site </w:t>
      </w:r>
      <w:r>
        <w:t xml:space="preserve">by 3 to 5 tons/acre in </w:t>
      </w:r>
      <w:r w:rsidR="00C940EC">
        <w:t xml:space="preserve">a </w:t>
      </w:r>
      <w:r>
        <w:t>tomato crop</w:t>
      </w:r>
      <w:r w:rsidR="00C940EC">
        <w:t xml:space="preserve"> following winter fallow or cover crops</w:t>
      </w:r>
      <w:r>
        <w:t>. Appl</w:t>
      </w:r>
      <w:r w:rsidR="00504F2E">
        <w:t xml:space="preserve">ication of K fertilizer in </w:t>
      </w:r>
      <w:r>
        <w:t>fall-incorporated and spring fertigation treatments significantly increased soil exchangeable K</w:t>
      </w:r>
      <w:r w:rsidR="00350E81">
        <w:t xml:space="preserve"> at tomato planting and in June during the rapid </w:t>
      </w:r>
      <w:r w:rsidR="00504F2E">
        <w:t xml:space="preserve">K </w:t>
      </w:r>
      <w:r w:rsidR="00350E81">
        <w:t>uptake period.</w:t>
      </w:r>
    </w:p>
    <w:p w:rsidR="00033204" w:rsidRPr="00033204" w:rsidRDefault="00033204" w:rsidP="004925DC">
      <w:pPr>
        <w:rPr>
          <w:b/>
        </w:rPr>
      </w:pPr>
      <w:r>
        <w:rPr>
          <w:b/>
        </w:rPr>
        <w:t xml:space="preserve">Goal and Objectives:  </w:t>
      </w:r>
    </w:p>
    <w:p w:rsidR="004925DC" w:rsidRDefault="00033204" w:rsidP="004925DC">
      <w:r w:rsidRPr="00033204">
        <w:rPr>
          <w:i/>
          <w:u w:val="single"/>
        </w:rPr>
        <w:t>Goal:</w:t>
      </w:r>
      <w:r>
        <w:rPr>
          <w:i/>
        </w:rPr>
        <w:t xml:space="preserve"> </w:t>
      </w:r>
      <w:r>
        <w:t xml:space="preserve"> Identify the method and timing of K fertilization that results in the greatest uptake of K in tomato while minimizing costs; i.e., getting the most K uptake per dollar investment, when comparing fall broadcast to in-season fertigation.</w:t>
      </w:r>
    </w:p>
    <w:p w:rsidR="00033204" w:rsidRDefault="00033204" w:rsidP="004925DC">
      <w:r>
        <w:rPr>
          <w:i/>
          <w:u w:val="single"/>
        </w:rPr>
        <w:t>Treatments:</w:t>
      </w:r>
    </w:p>
    <w:p w:rsidR="00033204" w:rsidRDefault="00033204" w:rsidP="00033204">
      <w:pPr>
        <w:pStyle w:val="ListParagraph"/>
        <w:numPr>
          <w:ilvl w:val="0"/>
          <w:numId w:val="2"/>
        </w:numPr>
      </w:pPr>
      <w:r>
        <w:t>No-K control</w:t>
      </w:r>
    </w:p>
    <w:p w:rsidR="00033204" w:rsidRDefault="00033204" w:rsidP="00033204">
      <w:pPr>
        <w:pStyle w:val="ListParagraph"/>
        <w:numPr>
          <w:ilvl w:val="0"/>
          <w:numId w:val="2"/>
        </w:numPr>
      </w:pPr>
      <w:r>
        <w:t>Fall shank K fertilizer (100 lb K/acre)</w:t>
      </w:r>
      <w:r w:rsidR="0023330B">
        <w:t xml:space="preserve"> – only at Russell Ranch</w:t>
      </w:r>
    </w:p>
    <w:p w:rsidR="00033204" w:rsidRDefault="00033204" w:rsidP="00033204">
      <w:pPr>
        <w:pStyle w:val="ListParagraph"/>
        <w:numPr>
          <w:ilvl w:val="0"/>
          <w:numId w:val="2"/>
        </w:numPr>
      </w:pPr>
      <w:r>
        <w:t>“Full” Fertigation at 30 DAT (100 lb K/acre</w:t>
      </w:r>
      <w:r w:rsidR="0023330B">
        <w:t xml:space="preserve"> at Russell Ranch, 180 lb K/acre at commercial field</w:t>
      </w:r>
      <w:r>
        <w:t>)</w:t>
      </w:r>
    </w:p>
    <w:p w:rsidR="00033204" w:rsidRPr="00033204" w:rsidRDefault="00033204" w:rsidP="00033204">
      <w:pPr>
        <w:pStyle w:val="ListParagraph"/>
        <w:numPr>
          <w:ilvl w:val="0"/>
          <w:numId w:val="2"/>
        </w:numPr>
      </w:pPr>
      <w:r>
        <w:t>“Split” Fertigation at 30 and 60 DAT (50</w:t>
      </w:r>
      <w:r w:rsidR="0023330B">
        <w:t xml:space="preserve"> or 90</w:t>
      </w:r>
      <w:r>
        <w:t xml:space="preserve"> lb K/acre per application time</w:t>
      </w:r>
      <w:r w:rsidR="0023330B">
        <w:t>, depending on trial</w:t>
      </w:r>
      <w:r>
        <w:t>)</w:t>
      </w:r>
    </w:p>
    <w:p w:rsidR="00033204" w:rsidRDefault="00033204" w:rsidP="004925DC">
      <w:pPr>
        <w:rPr>
          <w:i/>
          <w:u w:val="single"/>
        </w:rPr>
      </w:pPr>
      <w:r>
        <w:rPr>
          <w:i/>
          <w:u w:val="single"/>
        </w:rPr>
        <w:t>Objectives:</w:t>
      </w:r>
    </w:p>
    <w:p w:rsidR="00033204" w:rsidRDefault="00033204" w:rsidP="00033204">
      <w:pPr>
        <w:pStyle w:val="ListParagraph"/>
        <w:numPr>
          <w:ilvl w:val="0"/>
          <w:numId w:val="1"/>
        </w:numPr>
      </w:pPr>
      <w:r>
        <w:t>Measure exchangeable K in soils at tomato transplanting and early flower</w:t>
      </w:r>
    </w:p>
    <w:p w:rsidR="00033204" w:rsidRDefault="00033204" w:rsidP="00033204">
      <w:pPr>
        <w:pStyle w:val="ListParagraph"/>
        <w:numPr>
          <w:ilvl w:val="0"/>
          <w:numId w:val="1"/>
        </w:numPr>
      </w:pPr>
      <w:r>
        <w:t>Measure tomato tissue-K levels at full bloom</w:t>
      </w:r>
    </w:p>
    <w:p w:rsidR="00033204" w:rsidRDefault="00033204" w:rsidP="00033204">
      <w:pPr>
        <w:pStyle w:val="ListParagraph"/>
        <w:numPr>
          <w:ilvl w:val="0"/>
          <w:numId w:val="1"/>
        </w:numPr>
      </w:pPr>
      <w:r>
        <w:t>Evaluate fertilizer and application costs</w:t>
      </w:r>
    </w:p>
    <w:p w:rsidR="00033204" w:rsidRDefault="00033204" w:rsidP="00033204">
      <w:pPr>
        <w:pStyle w:val="ListParagraph"/>
        <w:numPr>
          <w:ilvl w:val="0"/>
          <w:numId w:val="1"/>
        </w:numPr>
      </w:pPr>
      <w:r>
        <w:t>Compare yields</w:t>
      </w:r>
    </w:p>
    <w:p w:rsidR="00033204" w:rsidRDefault="00033204" w:rsidP="00033204">
      <w:pPr>
        <w:rPr>
          <w:b/>
        </w:rPr>
      </w:pPr>
      <w:r>
        <w:rPr>
          <w:b/>
        </w:rPr>
        <w:t>Progress and Preliminary Findings</w:t>
      </w:r>
    </w:p>
    <w:p w:rsidR="008D58EE" w:rsidRDefault="008D58EE" w:rsidP="00033204">
      <w:pPr>
        <w:rPr>
          <w:i/>
        </w:rPr>
      </w:pPr>
      <w:r>
        <w:rPr>
          <w:i/>
        </w:rPr>
        <w:t>Russell Ranch Location</w:t>
      </w:r>
    </w:p>
    <w:p w:rsidR="002E69B2" w:rsidRPr="0012224B" w:rsidRDefault="008D58EE" w:rsidP="00033204">
      <w:r>
        <w:t>In mid-October 2018, potassium sulfate was shanked into the tops of the beds at a rate of 100 lb K/acre, in a conventional, winter-fallowed tomato system (“Conv”) and a winter cover cropped tomato system (“Conv+WCC”). The rate was determined following baseline soil testing, which found soils to contain 170-210 ppm exchangeable K, which is below recommended levels for tomato production. The potassium sulfate application increased soil exchangeable K levels at the time of tomato planting, compared to a no-K control (Table 1).</w:t>
      </w:r>
      <w:r w:rsidR="0098197F">
        <w:t xml:space="preserve"> </w:t>
      </w:r>
      <w:r w:rsidR="002E69B2">
        <w:t>Tomatoes were transplanted around 5/1/2019, and the Full fertigation application</w:t>
      </w:r>
      <w:r w:rsidR="00306C28">
        <w:t xml:space="preserve"> </w:t>
      </w:r>
      <w:r w:rsidR="00E06B7C">
        <w:t>and the first half of the Split application</w:t>
      </w:r>
      <w:r w:rsidR="002E69B2">
        <w:t xml:space="preserve"> was injected the week of June 3, around 30 DAT. </w:t>
      </w:r>
      <w:r w:rsidR="0012224B">
        <w:t>Soil and leaf samples were collected at the end of June, around the full flower stage of the tomato crop.</w:t>
      </w:r>
    </w:p>
    <w:p w:rsidR="002E69B2" w:rsidRDefault="002E69B2" w:rsidP="00033204">
      <w:r>
        <w:rPr>
          <w:b/>
        </w:rPr>
        <w:lastRenderedPageBreak/>
        <w:t xml:space="preserve">Table 1. </w:t>
      </w:r>
      <w:r>
        <w:t>Soil exchangeable K levels just prior to tomato transp</w:t>
      </w:r>
      <w:r w:rsidR="00141FE8">
        <w:t>lanting; soil sampled 4/26/2019 at Russell Ranch location.</w:t>
      </w:r>
      <w:bookmarkStart w:id="0" w:name="_GoBack"/>
      <w:bookmarkEnd w:id="0"/>
    </w:p>
    <w:tbl>
      <w:tblPr>
        <w:tblStyle w:val="TableGrid"/>
        <w:tblW w:w="0" w:type="auto"/>
        <w:tblLook w:val="04A0" w:firstRow="1" w:lastRow="0" w:firstColumn="1" w:lastColumn="0" w:noHBand="0" w:noVBand="1"/>
      </w:tblPr>
      <w:tblGrid>
        <w:gridCol w:w="2736"/>
        <w:gridCol w:w="2736"/>
        <w:gridCol w:w="2736"/>
      </w:tblGrid>
      <w:tr w:rsidR="002E69B2" w:rsidTr="002E69B2">
        <w:trPr>
          <w:trHeight w:val="432"/>
        </w:trPr>
        <w:tc>
          <w:tcPr>
            <w:tcW w:w="2736" w:type="dxa"/>
            <w:vAlign w:val="center"/>
          </w:tcPr>
          <w:p w:rsidR="002E69B2" w:rsidRPr="002E69B2" w:rsidRDefault="002E69B2" w:rsidP="002E69B2">
            <w:pPr>
              <w:jc w:val="center"/>
              <w:rPr>
                <w:b/>
              </w:rPr>
            </w:pPr>
            <w:r w:rsidRPr="002E69B2">
              <w:rPr>
                <w:b/>
              </w:rPr>
              <w:t>Treatment</w:t>
            </w:r>
          </w:p>
        </w:tc>
        <w:tc>
          <w:tcPr>
            <w:tcW w:w="2736" w:type="dxa"/>
            <w:vAlign w:val="center"/>
          </w:tcPr>
          <w:p w:rsidR="002E69B2" w:rsidRDefault="002E69B2" w:rsidP="002E69B2">
            <w:pPr>
              <w:jc w:val="center"/>
            </w:pPr>
            <w:r>
              <w:t>Conv</w:t>
            </w:r>
          </w:p>
        </w:tc>
        <w:tc>
          <w:tcPr>
            <w:tcW w:w="2736" w:type="dxa"/>
            <w:vAlign w:val="center"/>
          </w:tcPr>
          <w:p w:rsidR="002E69B2" w:rsidRDefault="002E69B2" w:rsidP="002E69B2">
            <w:pPr>
              <w:jc w:val="center"/>
            </w:pPr>
            <w:r>
              <w:t>Conv+WCC</w:t>
            </w:r>
          </w:p>
        </w:tc>
      </w:tr>
      <w:tr w:rsidR="002E69B2" w:rsidTr="00CF2A0B">
        <w:tc>
          <w:tcPr>
            <w:tcW w:w="2736" w:type="dxa"/>
          </w:tcPr>
          <w:p w:rsidR="002E69B2" w:rsidRDefault="002E69B2" w:rsidP="002E69B2">
            <w:pPr>
              <w:jc w:val="center"/>
            </w:pPr>
          </w:p>
        </w:tc>
        <w:tc>
          <w:tcPr>
            <w:tcW w:w="5472" w:type="dxa"/>
            <w:gridSpan w:val="2"/>
          </w:tcPr>
          <w:p w:rsidR="002E69B2" w:rsidRPr="002E69B2" w:rsidRDefault="002E69B2" w:rsidP="002E69B2">
            <w:pPr>
              <w:jc w:val="center"/>
              <w:rPr>
                <w:i/>
              </w:rPr>
            </w:pPr>
            <w:r w:rsidRPr="002E69B2">
              <w:rPr>
                <w:i/>
              </w:rPr>
              <w:t>Soil Exchangeable K (ppm)</w:t>
            </w:r>
          </w:p>
        </w:tc>
      </w:tr>
      <w:tr w:rsidR="002E69B2" w:rsidTr="002E69B2">
        <w:tc>
          <w:tcPr>
            <w:tcW w:w="2736" w:type="dxa"/>
          </w:tcPr>
          <w:p w:rsidR="002E69B2" w:rsidRPr="002E69B2" w:rsidRDefault="002E69B2" w:rsidP="002E69B2">
            <w:pPr>
              <w:jc w:val="center"/>
              <w:rPr>
                <w:b/>
              </w:rPr>
            </w:pPr>
            <w:r w:rsidRPr="002E69B2">
              <w:rPr>
                <w:b/>
              </w:rPr>
              <w:t>Fall Shank</w:t>
            </w:r>
          </w:p>
        </w:tc>
        <w:tc>
          <w:tcPr>
            <w:tcW w:w="2736" w:type="dxa"/>
          </w:tcPr>
          <w:p w:rsidR="002E69B2" w:rsidRDefault="002E69B2" w:rsidP="002E69B2">
            <w:pPr>
              <w:jc w:val="center"/>
            </w:pPr>
            <w:r>
              <w:t>252</w:t>
            </w:r>
          </w:p>
        </w:tc>
        <w:tc>
          <w:tcPr>
            <w:tcW w:w="2736" w:type="dxa"/>
          </w:tcPr>
          <w:p w:rsidR="002E69B2" w:rsidRDefault="002E69B2" w:rsidP="002E69B2">
            <w:pPr>
              <w:jc w:val="center"/>
            </w:pPr>
            <w:r>
              <w:t>195</w:t>
            </w:r>
          </w:p>
        </w:tc>
      </w:tr>
      <w:tr w:rsidR="002E69B2" w:rsidTr="002E69B2">
        <w:tc>
          <w:tcPr>
            <w:tcW w:w="2736" w:type="dxa"/>
          </w:tcPr>
          <w:p w:rsidR="002E69B2" w:rsidRPr="002E69B2" w:rsidRDefault="002E69B2" w:rsidP="002E69B2">
            <w:pPr>
              <w:jc w:val="center"/>
              <w:rPr>
                <w:b/>
              </w:rPr>
            </w:pPr>
            <w:r w:rsidRPr="002E69B2">
              <w:rPr>
                <w:b/>
              </w:rPr>
              <w:t>Control</w:t>
            </w:r>
          </w:p>
        </w:tc>
        <w:tc>
          <w:tcPr>
            <w:tcW w:w="2736" w:type="dxa"/>
          </w:tcPr>
          <w:p w:rsidR="002E69B2" w:rsidRDefault="002E69B2" w:rsidP="002E69B2">
            <w:pPr>
              <w:jc w:val="center"/>
            </w:pPr>
            <w:r>
              <w:t>197</w:t>
            </w:r>
          </w:p>
        </w:tc>
        <w:tc>
          <w:tcPr>
            <w:tcW w:w="2736" w:type="dxa"/>
          </w:tcPr>
          <w:p w:rsidR="002E69B2" w:rsidRDefault="002E69B2" w:rsidP="002E69B2">
            <w:pPr>
              <w:jc w:val="center"/>
            </w:pPr>
            <w:r>
              <w:t>144</w:t>
            </w:r>
          </w:p>
        </w:tc>
      </w:tr>
    </w:tbl>
    <w:p w:rsidR="002E69B2" w:rsidRDefault="002E69B2" w:rsidP="00033204"/>
    <w:p w:rsidR="00306C28" w:rsidRDefault="0007036A" w:rsidP="00033204">
      <w:r>
        <w:rPr>
          <w:noProof/>
        </w:rPr>
        <w:drawing>
          <wp:anchor distT="0" distB="0" distL="114300" distR="114300" simplePos="0" relativeHeight="251658240" behindDoc="0" locked="0" layoutInCell="1" allowOverlap="1">
            <wp:simplePos x="0" y="0"/>
            <wp:positionH relativeFrom="column">
              <wp:posOffset>1098550</wp:posOffset>
            </wp:positionH>
            <wp:positionV relativeFrom="paragraph">
              <wp:posOffset>1716405</wp:posOffset>
            </wp:positionV>
            <wp:extent cx="3460750" cy="2082800"/>
            <wp:effectExtent l="0" t="0" r="635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306C28">
        <w:t xml:space="preserve">All three K fertilizer treatments increased soil exchangeable K levels at the end of June, around 50 DAT. Soil K levels were greatest in the Fall Shank treatment, followed by the Full and Split fertigation treatments, </w:t>
      </w:r>
      <w:r w:rsidR="00FF77F3">
        <w:t>which were similar (Figure 1). These results indicate that 50 lb K/acre in the early-season period is likely sufficient for increasing soil K levels, as the extra 50 lb K/acre in the Full fertigation treatment did not affect soil K levels relative to the Split fertigation treatment. Soil K levels were greater overall in the Conv system, implying the winter cover crops before tomato tend to reduce soil K levels over time; however, the K fertilizer treatments had similar effects in each system. While differences in K levels among treatments were detected in the soil, no differences were observed in the leaf samples (Figure 2).</w:t>
      </w:r>
    </w:p>
    <w:p w:rsidR="0007036A" w:rsidRDefault="0007036A" w:rsidP="0007036A">
      <w:pPr>
        <w:pStyle w:val="NoSpacing"/>
      </w:pPr>
      <w:r>
        <w:tab/>
      </w:r>
      <w:r>
        <w:tab/>
      </w:r>
      <w:r>
        <w:tab/>
        <w:t>Figure 1. Soil exchangeable K levels on 6/21/2019, around</w:t>
      </w:r>
      <w:r w:rsidR="00F73054">
        <w:t xml:space="preserve"> </w:t>
      </w:r>
      <w:r>
        <w:tab/>
      </w:r>
      <w:r>
        <w:tab/>
      </w:r>
      <w:r>
        <w:tab/>
      </w:r>
      <w:r w:rsidR="00F73054">
        <w:tab/>
      </w:r>
      <w:r w:rsidR="00F73054">
        <w:tab/>
      </w:r>
      <w:r w:rsidR="00F73054">
        <w:tab/>
      </w:r>
      <w:r>
        <w:t xml:space="preserve">the full flower stage of tomato growth, at the </w:t>
      </w:r>
      <w:r w:rsidR="000261B7">
        <w:t>Russell Ranch site.</w:t>
      </w:r>
    </w:p>
    <w:p w:rsidR="00F73054" w:rsidRDefault="00F73054" w:rsidP="0007036A">
      <w:pPr>
        <w:pStyle w:val="NoSpacing"/>
      </w:pPr>
    </w:p>
    <w:p w:rsidR="00F73054" w:rsidRDefault="00F73054" w:rsidP="0007036A">
      <w:pPr>
        <w:pStyle w:val="NoSpacing"/>
      </w:pPr>
      <w:r>
        <w:t>Tomato leaf samples were also collected at July 19, around the pink fruit stage, and we are waiting to get the tissue test results back from the UCD Analytical Lab. Tomato yields were collected via machine harvesting entire rows of tomatoes in the plots, within treatments. Despite differences in soil K levels in June among the Conv and Conv+WCC, tomato fruit yields were similar among the systems. All three K fertilizer treatments benefited tomato fruit yields similarly, by 3-5 tons/acre compared to the no-K control. Tomato fruit yields trended slightly higher in the Split fertigation treatment, though the difference was not significant (Figure 3).</w:t>
      </w:r>
    </w:p>
    <w:p w:rsidR="0023330B" w:rsidRDefault="0023330B" w:rsidP="0007036A">
      <w:pPr>
        <w:pStyle w:val="NoSpacing"/>
      </w:pPr>
    </w:p>
    <w:p w:rsidR="0023330B" w:rsidRDefault="0023330B" w:rsidP="0098197F">
      <w:pPr>
        <w:rPr>
          <w:i/>
        </w:rPr>
      </w:pPr>
      <w:r w:rsidRPr="0098197F">
        <w:rPr>
          <w:i/>
        </w:rPr>
        <w:t>Commercial field near Tracy, San Joaquin County</w:t>
      </w:r>
    </w:p>
    <w:p w:rsidR="0023330B" w:rsidRPr="00112390" w:rsidRDefault="00310B38">
      <w:pPr>
        <w:pStyle w:val="NoSpacing"/>
      </w:pPr>
      <w:r w:rsidRPr="0098197F">
        <w:t xml:space="preserve">A trial was established in a commercial field which had been transplanted on June 14, 2019. </w:t>
      </w:r>
      <w:r w:rsidR="00112390" w:rsidRPr="0098197F">
        <w:t xml:space="preserve">Soil samples were taken after transplanting but before potassium applications began. </w:t>
      </w:r>
      <w:r w:rsidRPr="0098197F">
        <w:t xml:space="preserve">At five weeks after transplanting, </w:t>
      </w:r>
      <w:r w:rsidR="00112390" w:rsidRPr="0098197F">
        <w:t>the first potassium application was made (</w:t>
      </w:r>
      <w:r w:rsidR="00112390">
        <w:t xml:space="preserve">180 lb K per acre in the full rate treatment, 90 lb K per acre in the split rate treatment). The second application in the split treatment was made at 10 </w:t>
      </w:r>
      <w:r w:rsidR="00112390">
        <w:lastRenderedPageBreak/>
        <w:t xml:space="preserve">weeks after transplanting, on August 12. At 12 weeks, whole leaf samples were taken from each plot for tissue nutrient testing. </w:t>
      </w:r>
    </w:p>
    <w:p w:rsidR="00F73054" w:rsidRDefault="00F73054" w:rsidP="0007036A">
      <w:pPr>
        <w:pStyle w:val="NoSpacing"/>
      </w:pPr>
    </w:p>
    <w:p w:rsidR="00112390" w:rsidRPr="00FA40E1" w:rsidRDefault="0098197F" w:rsidP="00F73054">
      <w:pPr>
        <w:pStyle w:val="NoSpacing"/>
      </w:pPr>
      <w:r>
        <w:rPr>
          <w:noProof/>
        </w:rPr>
        <w:drawing>
          <wp:anchor distT="0" distB="0" distL="114300" distR="114300" simplePos="0" relativeHeight="251662336" behindDoc="0" locked="0" layoutInCell="1" allowOverlap="1" wp14:anchorId="5A216257" wp14:editId="54961B43">
            <wp:simplePos x="0" y="0"/>
            <wp:positionH relativeFrom="margin">
              <wp:align>left</wp:align>
            </wp:positionH>
            <wp:positionV relativeFrom="paragraph">
              <wp:posOffset>1196340</wp:posOffset>
            </wp:positionV>
            <wp:extent cx="3009900" cy="2084705"/>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3035300</wp:posOffset>
            </wp:positionH>
            <wp:positionV relativeFrom="paragraph">
              <wp:posOffset>1183640</wp:posOffset>
            </wp:positionV>
            <wp:extent cx="3108960" cy="2084705"/>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00F73054">
        <w:rPr>
          <w:i/>
        </w:rPr>
        <w:t xml:space="preserve">Work Remaining:  </w:t>
      </w:r>
      <w:r w:rsidR="00F73054">
        <w:t>From the Russell Ranch site, we are still waiting on the July leaf K results from the lab and the results of the PTAB fruit quality analysis; both these sets of samples have been submitted for testing. While preliminary results suggest the fall shank treatment was more costly than the fertigation K applications, a full accounting of costs is still underway and will be conducted after tomato harvest concludes</w:t>
      </w:r>
      <w:r w:rsidR="001B7A55">
        <w:t>, in cooperation</w:t>
      </w:r>
      <w:r w:rsidR="00F73054">
        <w:t xml:space="preserve"> with the </w:t>
      </w:r>
      <w:r w:rsidR="001B7A55">
        <w:t>collaborating growers.</w:t>
      </w:r>
      <w:r w:rsidR="00112390">
        <w:t xml:space="preserve"> At the grower site, we are awaiting soil and tissue results. Harvest will be in mid-October. </w:t>
      </w:r>
    </w:p>
    <w:p w:rsidR="00F73054" w:rsidRDefault="00F73054" w:rsidP="0007036A">
      <w:pPr>
        <w:pStyle w:val="NoSpacing"/>
      </w:pPr>
    </w:p>
    <w:p w:rsidR="0098197F" w:rsidRDefault="000261B7" w:rsidP="0098197F">
      <w:pPr>
        <w:pStyle w:val="NoSpacing"/>
      </w:pPr>
      <w:r>
        <w:t>Figure 2. Leaf total K level</w:t>
      </w:r>
      <w:r w:rsidR="0098197F">
        <w:t xml:space="preserve">s on 6/29/2019, around the       Figure 3. Tomato fruit yields, measured via </w:t>
      </w:r>
    </w:p>
    <w:p w:rsidR="000261B7" w:rsidRDefault="0098197F" w:rsidP="0098197F">
      <w:pPr>
        <w:pStyle w:val="NoSpacing"/>
      </w:pPr>
      <w:r>
        <w:t xml:space="preserve">full </w:t>
      </w:r>
      <w:r w:rsidR="000261B7">
        <w:t>flower stage of tomato g</w:t>
      </w:r>
      <w:r>
        <w:t>rowth, at RR</w:t>
      </w:r>
      <w:r w:rsidR="000261B7">
        <w:t>.</w:t>
      </w:r>
      <w:r>
        <w:t xml:space="preserve">                             machine harvest on 9/4/2019, at RR.</w:t>
      </w:r>
    </w:p>
    <w:p w:rsidR="00FA40E1" w:rsidRDefault="00FA40E1" w:rsidP="0098197F">
      <w:pPr>
        <w:pStyle w:val="NoSpacing"/>
      </w:pPr>
      <w:r>
        <w:tab/>
      </w:r>
      <w:r>
        <w:tab/>
      </w:r>
      <w:r>
        <w:tab/>
      </w:r>
    </w:p>
    <w:p w:rsidR="0098197F" w:rsidRDefault="0098197F" w:rsidP="0098197F">
      <w:pPr>
        <w:pStyle w:val="NoSpacing"/>
      </w:pPr>
    </w:p>
    <w:p w:rsidR="000427A5" w:rsidRDefault="000427A5" w:rsidP="0007036A">
      <w:pPr>
        <w:pStyle w:val="NoSpacing"/>
      </w:pPr>
      <w:r>
        <w:rPr>
          <w:b/>
        </w:rPr>
        <w:t xml:space="preserve">What’s Next for the Project:  </w:t>
      </w:r>
      <w:r>
        <w:t xml:space="preserve">One year of data and investigation is rarely sufficient to answer agronomic management questions, as results are subject to a variety of sources of variability within one year (e.g., weather, tomato variety, etc.). We would like to repeat this experiment next year to obtain a second year of data and at least four site*years of data to support clear management recommendations for K fertilizer application and economic outcomes. </w:t>
      </w:r>
    </w:p>
    <w:p w:rsidR="0098197F" w:rsidRDefault="0098197F" w:rsidP="0007036A">
      <w:pPr>
        <w:pStyle w:val="NoSpacing"/>
      </w:pPr>
    </w:p>
    <w:p w:rsidR="000427A5" w:rsidRPr="00FD1951" w:rsidRDefault="000427A5" w:rsidP="0007036A">
      <w:pPr>
        <w:pStyle w:val="NoSpacing"/>
      </w:pPr>
      <w:r>
        <w:rPr>
          <w:b/>
        </w:rPr>
        <w:t xml:space="preserve">This project as leverage for other dollars:  </w:t>
      </w:r>
      <w:r w:rsidR="00FD1951">
        <w:t>We are articulating the benefits of understanding how to maintain good soil K fertility, whether through synthetic fertilizer application and/or organic amendments like compost which have high K levels, as a subject of study in other grants. We are examining soil K fertility effects</w:t>
      </w:r>
      <w:r w:rsidR="00197FB1">
        <w:t xml:space="preserve"> on tomato yields and quality</w:t>
      </w:r>
      <w:r w:rsidR="00FD1951">
        <w:t xml:space="preserve"> in two Healthy Soils Initiative grants from the California Dept. of Food and Agriculture; one</w:t>
      </w:r>
      <w:r w:rsidR="00B619F8">
        <w:t xml:space="preserve"> began in 2018-19 funded at $12</w:t>
      </w:r>
      <w:r w:rsidR="00FD1951">
        <w:t>5,000. Another HSP grant was obtain</w:t>
      </w:r>
      <w:r w:rsidR="00B619F8">
        <w:t>ed in 2019, where we received $8</w:t>
      </w:r>
      <w:r w:rsidR="00FD1951">
        <w:t>5,000</w:t>
      </w:r>
      <w:r w:rsidR="00B619F8">
        <w:t>, and anticipate a total of $210,000 received in 2020, and $85,000 in 2021.</w:t>
      </w:r>
    </w:p>
    <w:sectPr w:rsidR="000427A5" w:rsidRPr="00FD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FD5"/>
    <w:multiLevelType w:val="hybridMultilevel"/>
    <w:tmpl w:val="13A4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8235A"/>
    <w:multiLevelType w:val="hybridMultilevel"/>
    <w:tmpl w:val="C6A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C"/>
    <w:rsid w:val="000261B7"/>
    <w:rsid w:val="00033204"/>
    <w:rsid w:val="000427A5"/>
    <w:rsid w:val="0007036A"/>
    <w:rsid w:val="00112390"/>
    <w:rsid w:val="0012224B"/>
    <w:rsid w:val="00141FE8"/>
    <w:rsid w:val="00176B18"/>
    <w:rsid w:val="00197FB1"/>
    <w:rsid w:val="001B7A55"/>
    <w:rsid w:val="0023330B"/>
    <w:rsid w:val="002E69B2"/>
    <w:rsid w:val="00306C28"/>
    <w:rsid w:val="00310B38"/>
    <w:rsid w:val="00350E81"/>
    <w:rsid w:val="004925DC"/>
    <w:rsid w:val="00504F2E"/>
    <w:rsid w:val="005078AB"/>
    <w:rsid w:val="00566C63"/>
    <w:rsid w:val="00612A42"/>
    <w:rsid w:val="008D58EE"/>
    <w:rsid w:val="0098197F"/>
    <w:rsid w:val="00B619F8"/>
    <w:rsid w:val="00C940EC"/>
    <w:rsid w:val="00DB136F"/>
    <w:rsid w:val="00E06B7C"/>
    <w:rsid w:val="00E1613D"/>
    <w:rsid w:val="00EE2332"/>
    <w:rsid w:val="00F73054"/>
    <w:rsid w:val="00FA40E1"/>
    <w:rsid w:val="00FD1951"/>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31EC"/>
  <w15:chartTrackingRefBased/>
  <w15:docId w15:val="{AA140D1C-F989-44C8-BE4E-7927227E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04"/>
    <w:pPr>
      <w:ind w:left="720"/>
      <w:contextualSpacing/>
    </w:pPr>
  </w:style>
  <w:style w:type="table" w:styleId="TableGrid">
    <w:name w:val="Table Grid"/>
    <w:basedOn w:val="TableNormal"/>
    <w:uiPriority w:val="39"/>
    <w:rsid w:val="002E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036A"/>
    <w:pPr>
      <w:spacing w:after="0" w:line="240" w:lineRule="auto"/>
    </w:pPr>
  </w:style>
  <w:style w:type="paragraph" w:styleId="BalloonText">
    <w:name w:val="Balloon Text"/>
    <w:basedOn w:val="Normal"/>
    <w:link w:val="BalloonTextChar"/>
    <w:uiPriority w:val="99"/>
    <w:semiHidden/>
    <w:unhideWhenUsed/>
    <w:rsid w:val="0098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autges\Dropbox\RR%20Grants\CTRI\K%20Trial\soil_fertility_ma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tautges\Dropbox\RR%20Grants\CTRI\K%20Trial\leaf_fertility_RR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tautges\Dropbox\RR%20Grants\CTRI\K%20Trial\tomato_yields_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mn-lt"/>
                <a:ea typeface="+mn-ea"/>
                <a:cs typeface="+mn-cs"/>
              </a:defRPr>
            </a:pPr>
            <a:r>
              <a:rPr lang="en-US"/>
              <a:t>June Soil Fertility</a:t>
            </a:r>
          </a:p>
        </c:rich>
      </c:tx>
      <c:layout>
        <c:manualLayout>
          <c:xMode val="edge"/>
          <c:yMode val="edge"/>
          <c:x val="0.37602745069710325"/>
          <c:y val="2.4390243902439025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232608538611572"/>
          <c:y val="0.12205492606107163"/>
          <c:w val="0.78698576898071226"/>
          <c:h val="0.65465431150374498"/>
        </c:manualLayout>
      </c:layout>
      <c:barChart>
        <c:barDir val="col"/>
        <c:grouping val="clustered"/>
        <c:varyColors val="0"/>
        <c:ser>
          <c:idx val="0"/>
          <c:order val="0"/>
          <c:tx>
            <c:v>Conv</c:v>
          </c:tx>
          <c:spPr>
            <a:solidFill>
              <a:srgbClr val="0070C0"/>
            </a:solidFill>
            <a:ln>
              <a:solidFill>
                <a:sysClr val="windowText" lastClr="000000"/>
              </a:solidFill>
            </a:ln>
            <a:effectLst/>
          </c:spPr>
          <c:invertIfNegative val="0"/>
          <c:errBars>
            <c:errBarType val="both"/>
            <c:errValType val="cust"/>
            <c:noEndCap val="0"/>
            <c:plus>
              <c:numRef>
                <c:f>Sheet1!$N$18:$N$21</c:f>
                <c:numCache>
                  <c:formatCode>General</c:formatCode>
                  <c:ptCount val="4"/>
                  <c:pt idx="0">
                    <c:v>2.7018512172212592</c:v>
                  </c:pt>
                  <c:pt idx="1">
                    <c:v>6.9841089465855388</c:v>
                  </c:pt>
                  <c:pt idx="2">
                    <c:v>7.9934869320799757</c:v>
                  </c:pt>
                  <c:pt idx="3">
                    <c:v>4.9777281743558639</c:v>
                  </c:pt>
                </c:numCache>
              </c:numRef>
            </c:plus>
            <c:minus>
              <c:numRef>
                <c:f>Sheet1!$N$18:$N$21</c:f>
                <c:numCache>
                  <c:formatCode>General</c:formatCode>
                  <c:ptCount val="4"/>
                  <c:pt idx="0">
                    <c:v>2.7018512172212592</c:v>
                  </c:pt>
                  <c:pt idx="1">
                    <c:v>6.9841089465855388</c:v>
                  </c:pt>
                  <c:pt idx="2">
                    <c:v>7.9934869320799757</c:v>
                  </c:pt>
                  <c:pt idx="3">
                    <c:v>4.9777281743558639</c:v>
                  </c:pt>
                </c:numCache>
              </c:numRef>
            </c:minus>
            <c:spPr>
              <a:noFill/>
              <a:ln w="9525" cap="flat" cmpd="sng" algn="ctr">
                <a:solidFill>
                  <a:schemeClr val="tx1">
                    <a:lumMod val="65000"/>
                    <a:lumOff val="35000"/>
                  </a:schemeClr>
                </a:solidFill>
                <a:round/>
              </a:ln>
              <a:effectLst/>
            </c:spPr>
          </c:errBars>
          <c:cat>
            <c:strRef>
              <c:f>Sheet1!$J$18:$J$21</c:f>
              <c:strCache>
                <c:ptCount val="4"/>
                <c:pt idx="0">
                  <c:v>control</c:v>
                </c:pt>
                <c:pt idx="1">
                  <c:v>full</c:v>
                </c:pt>
                <c:pt idx="2">
                  <c:v>shank</c:v>
                </c:pt>
                <c:pt idx="3">
                  <c:v>split</c:v>
                </c:pt>
              </c:strCache>
            </c:strRef>
          </c:cat>
          <c:val>
            <c:numRef>
              <c:f>Sheet1!$K$18:$K$21</c:f>
              <c:numCache>
                <c:formatCode>General</c:formatCode>
                <c:ptCount val="4"/>
                <c:pt idx="0">
                  <c:v>210</c:v>
                </c:pt>
                <c:pt idx="1">
                  <c:v>233.66666666666666</c:v>
                </c:pt>
                <c:pt idx="2">
                  <c:v>277.75</c:v>
                </c:pt>
                <c:pt idx="3">
                  <c:v>235.66666666666666</c:v>
                </c:pt>
              </c:numCache>
            </c:numRef>
          </c:val>
          <c:extLst>
            <c:ext xmlns:c16="http://schemas.microsoft.com/office/drawing/2014/chart" uri="{C3380CC4-5D6E-409C-BE32-E72D297353CC}">
              <c16:uniqueId val="{00000000-0674-41EB-89A6-FBB47A37C636}"/>
            </c:ext>
          </c:extLst>
        </c:ser>
        <c:ser>
          <c:idx val="1"/>
          <c:order val="1"/>
          <c:tx>
            <c:v>Conv+WCC</c:v>
          </c:tx>
          <c:spPr>
            <a:solidFill>
              <a:schemeClr val="accent4"/>
            </a:solidFill>
            <a:ln>
              <a:solidFill>
                <a:sysClr val="windowText" lastClr="000000"/>
              </a:solidFill>
            </a:ln>
            <a:effectLst/>
          </c:spPr>
          <c:invertIfNegative val="0"/>
          <c:errBars>
            <c:errBarType val="both"/>
            <c:errValType val="cust"/>
            <c:noEndCap val="0"/>
            <c:plus>
              <c:numRef>
                <c:f>Sheet1!$N$23:$N$26</c:f>
                <c:numCache>
                  <c:formatCode>General</c:formatCode>
                  <c:ptCount val="4"/>
                  <c:pt idx="0">
                    <c:v>4</c:v>
                  </c:pt>
                  <c:pt idx="1">
                    <c:v>5.4999999999999991</c:v>
                  </c:pt>
                  <c:pt idx="2">
                    <c:v>12.5</c:v>
                  </c:pt>
                  <c:pt idx="3">
                    <c:v>10</c:v>
                  </c:pt>
                </c:numCache>
              </c:numRef>
            </c:plus>
            <c:minus>
              <c:numRef>
                <c:f>Sheet1!$N$23:$N$26</c:f>
                <c:numCache>
                  <c:formatCode>General</c:formatCode>
                  <c:ptCount val="4"/>
                  <c:pt idx="0">
                    <c:v>4</c:v>
                  </c:pt>
                  <c:pt idx="1">
                    <c:v>5.4999999999999991</c:v>
                  </c:pt>
                  <c:pt idx="2">
                    <c:v>12.5</c:v>
                  </c:pt>
                  <c:pt idx="3">
                    <c:v>10</c:v>
                  </c:pt>
                </c:numCache>
              </c:numRef>
            </c:minus>
            <c:spPr>
              <a:noFill/>
              <a:ln w="9525" cap="flat" cmpd="sng" algn="ctr">
                <a:solidFill>
                  <a:schemeClr val="tx1">
                    <a:lumMod val="65000"/>
                    <a:lumOff val="35000"/>
                  </a:schemeClr>
                </a:solidFill>
                <a:round/>
              </a:ln>
              <a:effectLst/>
            </c:spPr>
          </c:errBars>
          <c:val>
            <c:numRef>
              <c:f>Sheet1!$K$23:$K$26</c:f>
              <c:numCache>
                <c:formatCode>General</c:formatCode>
                <c:ptCount val="4"/>
                <c:pt idx="0">
                  <c:v>168</c:v>
                </c:pt>
                <c:pt idx="1">
                  <c:v>182.5</c:v>
                </c:pt>
                <c:pt idx="2">
                  <c:v>210.5</c:v>
                </c:pt>
                <c:pt idx="3">
                  <c:v>200</c:v>
                </c:pt>
              </c:numCache>
            </c:numRef>
          </c:val>
          <c:extLst>
            <c:ext xmlns:c16="http://schemas.microsoft.com/office/drawing/2014/chart" uri="{C3380CC4-5D6E-409C-BE32-E72D297353CC}">
              <c16:uniqueId val="{00000001-0674-41EB-89A6-FBB47A37C636}"/>
            </c:ext>
          </c:extLst>
        </c:ser>
        <c:dLbls>
          <c:showLegendKey val="0"/>
          <c:showVal val="0"/>
          <c:showCatName val="0"/>
          <c:showSerName val="0"/>
          <c:showPercent val="0"/>
          <c:showBubbleSize val="0"/>
        </c:dLbls>
        <c:gapWidth val="219"/>
        <c:overlap val="-27"/>
        <c:axId val="1750638703"/>
        <c:axId val="1750637871"/>
      </c:barChart>
      <c:catAx>
        <c:axId val="175063870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K Application Method</a:t>
                </a:r>
              </a:p>
            </c:rich>
          </c:tx>
          <c:layout>
            <c:manualLayout>
              <c:xMode val="edge"/>
              <c:yMode val="edge"/>
              <c:x val="0.41239673481181827"/>
              <c:y val="0.899817073170731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50637871"/>
        <c:crosses val="autoZero"/>
        <c:auto val="1"/>
        <c:lblAlgn val="ctr"/>
        <c:lblOffset val="100"/>
        <c:noMultiLvlLbl val="0"/>
      </c:catAx>
      <c:valAx>
        <c:axId val="1750637871"/>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K (ppm)</a:t>
                </a:r>
              </a:p>
            </c:rich>
          </c:tx>
          <c:layout>
            <c:manualLayout>
              <c:xMode val="edge"/>
              <c:yMode val="edge"/>
              <c:x val="4.6998482987791667E-3"/>
              <c:y val="0.2602021317457269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50638703"/>
        <c:crosses val="autoZero"/>
        <c:crossBetween val="between"/>
      </c:valAx>
      <c:spPr>
        <a:noFill/>
        <a:ln>
          <a:noFill/>
        </a:ln>
        <a:effectLst/>
      </c:spPr>
    </c:plotArea>
    <c:legend>
      <c:legendPos val="r"/>
      <c:layout>
        <c:manualLayout>
          <c:xMode val="edge"/>
          <c:yMode val="edge"/>
          <c:x val="0.73305901899877191"/>
          <c:y val="7.4664874207797188E-2"/>
          <c:w val="0.26213917704731354"/>
          <c:h val="0.2076200307278663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mn-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June Tomato Leaf K</a:t>
            </a:r>
          </a:p>
        </c:rich>
      </c:tx>
      <c:layout>
        <c:manualLayout>
          <c:xMode val="edge"/>
          <c:yMode val="edge"/>
          <c:x val="0.32710525470030538"/>
          <c:y val="1.708299255770001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461942257217848"/>
          <c:y val="0.1444852733584005"/>
          <c:w val="0.79385328416226453"/>
          <c:h val="0.63861617330371356"/>
        </c:manualLayout>
      </c:layout>
      <c:barChart>
        <c:barDir val="col"/>
        <c:grouping val="clustered"/>
        <c:varyColors val="0"/>
        <c:ser>
          <c:idx val="0"/>
          <c:order val="0"/>
          <c:tx>
            <c:v>Conv</c:v>
          </c:tx>
          <c:spPr>
            <a:solidFill>
              <a:srgbClr val="0070C0"/>
            </a:solidFill>
            <a:ln>
              <a:solidFill>
                <a:sysClr val="windowText" lastClr="000000"/>
              </a:solidFill>
            </a:ln>
            <a:effectLst/>
          </c:spPr>
          <c:invertIfNegative val="0"/>
          <c:errBars>
            <c:errBarType val="both"/>
            <c:errValType val="cust"/>
            <c:noEndCap val="0"/>
            <c:plus>
              <c:numRef>
                <c:f>Sheet1!$P$21:$P$24</c:f>
                <c:numCache>
                  <c:formatCode>General</c:formatCode>
                  <c:ptCount val="4"/>
                  <c:pt idx="0">
                    <c:v>0.21797043632362512</c:v>
                  </c:pt>
                  <c:pt idx="1">
                    <c:v>0.18009256878986693</c:v>
                  </c:pt>
                  <c:pt idx="2">
                    <c:v>0.13617798810543594</c:v>
                  </c:pt>
                  <c:pt idx="3">
                    <c:v>0.25048841179672277</c:v>
                  </c:pt>
                </c:numCache>
              </c:numRef>
            </c:plus>
            <c:minus>
              <c:numRef>
                <c:f>Sheet1!$P$21:$P$24</c:f>
                <c:numCache>
                  <c:formatCode>General</c:formatCode>
                  <c:ptCount val="4"/>
                  <c:pt idx="0">
                    <c:v>0.21797043632362512</c:v>
                  </c:pt>
                  <c:pt idx="1">
                    <c:v>0.18009256878986693</c:v>
                  </c:pt>
                  <c:pt idx="2">
                    <c:v>0.13617798810543594</c:v>
                  </c:pt>
                  <c:pt idx="3">
                    <c:v>0.25048841179672277</c:v>
                  </c:pt>
                </c:numCache>
              </c:numRef>
            </c:minus>
            <c:spPr>
              <a:noFill/>
              <a:ln w="9525" cap="flat" cmpd="sng" algn="ctr">
                <a:solidFill>
                  <a:schemeClr val="tx1"/>
                </a:solidFill>
                <a:round/>
              </a:ln>
              <a:effectLst/>
            </c:spPr>
          </c:errBars>
          <c:cat>
            <c:strRef>
              <c:f>Sheet1!$L$21:$L$24</c:f>
              <c:strCache>
                <c:ptCount val="4"/>
                <c:pt idx="0">
                  <c:v>control</c:v>
                </c:pt>
                <c:pt idx="1">
                  <c:v>full</c:v>
                </c:pt>
                <c:pt idx="2">
                  <c:v>shank</c:v>
                </c:pt>
                <c:pt idx="3">
                  <c:v>split</c:v>
                </c:pt>
              </c:strCache>
            </c:strRef>
          </c:cat>
          <c:val>
            <c:numRef>
              <c:f>Sheet1!$M$21:$M$24</c:f>
              <c:numCache>
                <c:formatCode>General</c:formatCode>
                <c:ptCount val="4"/>
                <c:pt idx="0">
                  <c:v>2.3833333333333333</c:v>
                </c:pt>
                <c:pt idx="1">
                  <c:v>2.02</c:v>
                </c:pt>
                <c:pt idx="2">
                  <c:v>1.9533333333333334</c:v>
                </c:pt>
                <c:pt idx="3">
                  <c:v>1.9366666666666665</c:v>
                </c:pt>
              </c:numCache>
            </c:numRef>
          </c:val>
          <c:extLst>
            <c:ext xmlns:c16="http://schemas.microsoft.com/office/drawing/2014/chart" uri="{C3380CC4-5D6E-409C-BE32-E72D297353CC}">
              <c16:uniqueId val="{00000000-DC53-4215-B228-0F917BEBBA1A}"/>
            </c:ext>
          </c:extLst>
        </c:ser>
        <c:ser>
          <c:idx val="1"/>
          <c:order val="1"/>
          <c:tx>
            <c:v>Conv+WCC</c:v>
          </c:tx>
          <c:spPr>
            <a:solidFill>
              <a:schemeClr val="accent4"/>
            </a:solidFill>
            <a:ln>
              <a:solidFill>
                <a:sysClr val="windowText" lastClr="000000"/>
              </a:solidFill>
            </a:ln>
            <a:effectLst/>
          </c:spPr>
          <c:invertIfNegative val="0"/>
          <c:errBars>
            <c:errBarType val="both"/>
            <c:errValType val="cust"/>
            <c:noEndCap val="0"/>
            <c:plus>
              <c:numRef>
                <c:f>Sheet1!$P$26:$P$29</c:f>
                <c:numCache>
                  <c:formatCode>General</c:formatCode>
                  <c:ptCount val="4"/>
                  <c:pt idx="0">
                    <c:v>0.23599576267382408</c:v>
                  </c:pt>
                  <c:pt idx="1">
                    <c:v>0.10999999999999897</c:v>
                  </c:pt>
                  <c:pt idx="2">
                    <c:v>0.21500000000000041</c:v>
                  </c:pt>
                  <c:pt idx="3">
                    <c:v>0.2000000000000012</c:v>
                  </c:pt>
                </c:numCache>
              </c:numRef>
            </c:plus>
            <c:minus>
              <c:numRef>
                <c:f>Sheet1!$P$26:$P$29</c:f>
                <c:numCache>
                  <c:formatCode>General</c:formatCode>
                  <c:ptCount val="4"/>
                  <c:pt idx="0">
                    <c:v>0.23599576267382408</c:v>
                  </c:pt>
                  <c:pt idx="1">
                    <c:v>0.10999999999999897</c:v>
                  </c:pt>
                  <c:pt idx="2">
                    <c:v>0.21500000000000041</c:v>
                  </c:pt>
                  <c:pt idx="3">
                    <c:v>0.2000000000000012</c:v>
                  </c:pt>
                </c:numCache>
              </c:numRef>
            </c:minus>
            <c:spPr>
              <a:noFill/>
              <a:ln w="9525" cap="flat" cmpd="sng" algn="ctr">
                <a:solidFill>
                  <a:schemeClr val="tx1"/>
                </a:solidFill>
                <a:round/>
              </a:ln>
              <a:effectLst/>
            </c:spPr>
          </c:errBars>
          <c:cat>
            <c:strRef>
              <c:f>Sheet1!$L$21:$L$24</c:f>
              <c:strCache>
                <c:ptCount val="4"/>
                <c:pt idx="0">
                  <c:v>control</c:v>
                </c:pt>
                <c:pt idx="1">
                  <c:v>full</c:v>
                </c:pt>
                <c:pt idx="2">
                  <c:v>shank</c:v>
                </c:pt>
                <c:pt idx="3">
                  <c:v>split</c:v>
                </c:pt>
              </c:strCache>
            </c:strRef>
          </c:cat>
          <c:val>
            <c:numRef>
              <c:f>Sheet1!$M$26:$M$29</c:f>
              <c:numCache>
                <c:formatCode>General</c:formatCode>
                <c:ptCount val="4"/>
                <c:pt idx="0">
                  <c:v>2.2480000000000002</c:v>
                </c:pt>
                <c:pt idx="1">
                  <c:v>1.81</c:v>
                </c:pt>
                <c:pt idx="2">
                  <c:v>1.9650000000000001</c:v>
                </c:pt>
                <c:pt idx="3">
                  <c:v>1.96</c:v>
                </c:pt>
              </c:numCache>
            </c:numRef>
          </c:val>
          <c:extLst>
            <c:ext xmlns:c16="http://schemas.microsoft.com/office/drawing/2014/chart" uri="{C3380CC4-5D6E-409C-BE32-E72D297353CC}">
              <c16:uniqueId val="{00000001-DC53-4215-B228-0F917BEBBA1A}"/>
            </c:ext>
          </c:extLst>
        </c:ser>
        <c:dLbls>
          <c:showLegendKey val="0"/>
          <c:showVal val="0"/>
          <c:showCatName val="0"/>
          <c:showSerName val="0"/>
          <c:showPercent val="0"/>
          <c:showBubbleSize val="0"/>
        </c:dLbls>
        <c:gapWidth val="219"/>
        <c:overlap val="-27"/>
        <c:axId val="1821748223"/>
        <c:axId val="1821741567"/>
      </c:barChart>
      <c:catAx>
        <c:axId val="182174822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K Application Timing</a:t>
                </a:r>
              </a:p>
            </c:rich>
          </c:tx>
          <c:layout>
            <c:manualLayout>
              <c:xMode val="edge"/>
              <c:yMode val="edge"/>
              <c:x val="0.41181947884611214"/>
              <c:y val="0.903490641639966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21741567"/>
        <c:crosses val="autoZero"/>
        <c:auto val="1"/>
        <c:lblAlgn val="ctr"/>
        <c:lblOffset val="100"/>
        <c:noMultiLvlLbl val="0"/>
      </c:catAx>
      <c:valAx>
        <c:axId val="1821741567"/>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Percent</a:t>
                </a:r>
              </a:p>
            </c:rich>
          </c:tx>
          <c:layout>
            <c:manualLayout>
              <c:xMode val="edge"/>
              <c:yMode val="edge"/>
              <c:x val="9.2635479388605846E-4"/>
              <c:y val="0.303619456949544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21748223"/>
        <c:crosses val="autoZero"/>
        <c:crossBetween val="between"/>
        <c:majorUnit val="0.4"/>
      </c:valAx>
      <c:spPr>
        <a:noFill/>
        <a:ln>
          <a:noFill/>
        </a:ln>
        <a:effectLst/>
      </c:spPr>
    </c:plotArea>
    <c:legend>
      <c:legendPos val="r"/>
      <c:layout>
        <c:manualLayout>
          <c:xMode val="edge"/>
          <c:yMode val="edge"/>
          <c:x val="0.70573517596014801"/>
          <c:y val="4.8786279113831453E-2"/>
          <c:w val="0.2909355616262253"/>
          <c:h val="0.224250433514573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mn-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Tomato Yields 2019</a:t>
            </a:r>
          </a:p>
        </c:rich>
      </c:tx>
      <c:layout>
        <c:manualLayout>
          <c:xMode val="edge"/>
          <c:yMode val="edge"/>
          <c:x val="0.31454891667953272"/>
          <c:y val="1.827548741908327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7008871133755341"/>
          <c:y val="0.14375968992248062"/>
          <c:w val="0.78974962688487471"/>
          <c:h val="0.63651219858482599"/>
        </c:manualLayout>
      </c:layout>
      <c:barChart>
        <c:barDir val="col"/>
        <c:grouping val="clustered"/>
        <c:varyColors val="0"/>
        <c:ser>
          <c:idx val="0"/>
          <c:order val="0"/>
          <c:tx>
            <c:v>Conv</c:v>
          </c:tx>
          <c:spPr>
            <a:solidFill>
              <a:srgbClr val="0070C0"/>
            </a:solidFill>
            <a:ln>
              <a:solidFill>
                <a:sysClr val="windowText" lastClr="000000"/>
              </a:solidFill>
            </a:ln>
            <a:effectLst/>
          </c:spPr>
          <c:invertIfNegative val="0"/>
          <c:errBars>
            <c:errBarType val="both"/>
            <c:errValType val="cust"/>
            <c:noEndCap val="0"/>
            <c:plus>
              <c:numRef>
                <c:f>Sheet1!$O$19:$O$22</c:f>
                <c:numCache>
                  <c:formatCode>General</c:formatCode>
                  <c:ptCount val="4"/>
                  <c:pt idx="0">
                    <c:v>0.62306486857255983</c:v>
                  </c:pt>
                  <c:pt idx="1">
                    <c:v>1.8031330774255983</c:v>
                  </c:pt>
                  <c:pt idx="2">
                    <c:v>2.3298301777436148</c:v>
                  </c:pt>
                  <c:pt idx="3">
                    <c:v>1.2101249638595946</c:v>
                  </c:pt>
                </c:numCache>
              </c:numRef>
            </c:plus>
            <c:minus>
              <c:numRef>
                <c:f>Sheet1!$O$19:$O$22</c:f>
                <c:numCache>
                  <c:formatCode>General</c:formatCode>
                  <c:ptCount val="4"/>
                  <c:pt idx="0">
                    <c:v>0.62306486857255983</c:v>
                  </c:pt>
                  <c:pt idx="1">
                    <c:v>1.8031330774255983</c:v>
                  </c:pt>
                  <c:pt idx="2">
                    <c:v>2.3298301777436148</c:v>
                  </c:pt>
                  <c:pt idx="3">
                    <c:v>1.2101249638595946</c:v>
                  </c:pt>
                </c:numCache>
              </c:numRef>
            </c:minus>
            <c:spPr>
              <a:noFill/>
              <a:ln w="9525" cap="flat" cmpd="sng" algn="ctr">
                <a:solidFill>
                  <a:schemeClr val="tx1"/>
                </a:solidFill>
                <a:round/>
              </a:ln>
              <a:effectLst/>
            </c:spPr>
          </c:errBars>
          <c:cat>
            <c:strRef>
              <c:f>Sheet1!$K$19:$K$22</c:f>
              <c:strCache>
                <c:ptCount val="4"/>
                <c:pt idx="0">
                  <c:v>control</c:v>
                </c:pt>
                <c:pt idx="1">
                  <c:v>full</c:v>
                </c:pt>
                <c:pt idx="2">
                  <c:v>shank</c:v>
                </c:pt>
                <c:pt idx="3">
                  <c:v>split</c:v>
                </c:pt>
              </c:strCache>
            </c:strRef>
          </c:cat>
          <c:val>
            <c:numRef>
              <c:f>Sheet1!$L$19:$L$22</c:f>
              <c:numCache>
                <c:formatCode>General</c:formatCode>
                <c:ptCount val="4"/>
                <c:pt idx="0">
                  <c:v>46.708728510794053</c:v>
                </c:pt>
                <c:pt idx="1">
                  <c:v>50.951587499999995</c:v>
                </c:pt>
                <c:pt idx="2">
                  <c:v>50.665725000000009</c:v>
                </c:pt>
                <c:pt idx="3">
                  <c:v>52.231162500000003</c:v>
                </c:pt>
              </c:numCache>
            </c:numRef>
          </c:val>
          <c:extLst>
            <c:ext xmlns:c16="http://schemas.microsoft.com/office/drawing/2014/chart" uri="{C3380CC4-5D6E-409C-BE32-E72D297353CC}">
              <c16:uniqueId val="{00000000-FD9A-4499-A51B-E51FAE5AC484}"/>
            </c:ext>
          </c:extLst>
        </c:ser>
        <c:ser>
          <c:idx val="1"/>
          <c:order val="1"/>
          <c:tx>
            <c:v>Conv+WCC</c:v>
          </c:tx>
          <c:spPr>
            <a:solidFill>
              <a:schemeClr val="accent4"/>
            </a:solidFill>
            <a:ln>
              <a:solidFill>
                <a:sysClr val="windowText" lastClr="000000"/>
              </a:solidFill>
            </a:ln>
            <a:effectLst/>
          </c:spPr>
          <c:invertIfNegative val="0"/>
          <c:errBars>
            <c:errBarType val="both"/>
            <c:errValType val="cust"/>
            <c:noEndCap val="0"/>
            <c:plus>
              <c:numRef>
                <c:f>Sheet1!$O$23:$O$26</c:f>
                <c:numCache>
                  <c:formatCode>General</c:formatCode>
                  <c:ptCount val="4"/>
                  <c:pt idx="0">
                    <c:v>1.2929179566307991</c:v>
                  </c:pt>
                  <c:pt idx="1">
                    <c:v>1.6182829469147424</c:v>
                  </c:pt>
                  <c:pt idx="2">
                    <c:v>2.0830288158486967</c:v>
                  </c:pt>
                  <c:pt idx="3">
                    <c:v>1.2315333397436807</c:v>
                  </c:pt>
                </c:numCache>
              </c:numRef>
            </c:plus>
            <c:minus>
              <c:numRef>
                <c:f>Sheet1!$O$23:$O$26</c:f>
                <c:numCache>
                  <c:formatCode>General</c:formatCode>
                  <c:ptCount val="4"/>
                  <c:pt idx="0">
                    <c:v>1.2929179566307991</c:v>
                  </c:pt>
                  <c:pt idx="1">
                    <c:v>1.6182829469147424</c:v>
                  </c:pt>
                  <c:pt idx="2">
                    <c:v>2.0830288158486967</c:v>
                  </c:pt>
                  <c:pt idx="3">
                    <c:v>1.2315333397436807</c:v>
                  </c:pt>
                </c:numCache>
              </c:numRef>
            </c:minus>
            <c:spPr>
              <a:noFill/>
              <a:ln w="9525" cap="flat" cmpd="sng" algn="ctr">
                <a:solidFill>
                  <a:sysClr val="windowText" lastClr="000000"/>
                </a:solidFill>
                <a:round/>
              </a:ln>
              <a:effectLst/>
            </c:spPr>
          </c:errBars>
          <c:val>
            <c:numRef>
              <c:f>Sheet1!$L$23:$L$26</c:f>
              <c:numCache>
                <c:formatCode>General</c:formatCode>
                <c:ptCount val="4"/>
                <c:pt idx="0">
                  <c:v>47.193067183445486</c:v>
                </c:pt>
                <c:pt idx="1">
                  <c:v>51.123104999999995</c:v>
                </c:pt>
                <c:pt idx="2">
                  <c:v>51.369037500000012</c:v>
                </c:pt>
                <c:pt idx="3">
                  <c:v>51.705719999999999</c:v>
                </c:pt>
              </c:numCache>
            </c:numRef>
          </c:val>
          <c:extLst>
            <c:ext xmlns:c16="http://schemas.microsoft.com/office/drawing/2014/chart" uri="{C3380CC4-5D6E-409C-BE32-E72D297353CC}">
              <c16:uniqueId val="{00000001-FD9A-4499-A51B-E51FAE5AC484}"/>
            </c:ext>
          </c:extLst>
        </c:ser>
        <c:dLbls>
          <c:showLegendKey val="0"/>
          <c:showVal val="0"/>
          <c:showCatName val="0"/>
          <c:showSerName val="0"/>
          <c:showPercent val="0"/>
          <c:showBubbleSize val="0"/>
        </c:dLbls>
        <c:gapWidth val="219"/>
        <c:overlap val="-27"/>
        <c:axId val="1412194640"/>
        <c:axId val="1412189648"/>
      </c:barChart>
      <c:catAx>
        <c:axId val="14121946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K Application Method</a:t>
                </a:r>
              </a:p>
            </c:rich>
          </c:tx>
          <c:layout>
            <c:manualLayout>
              <c:xMode val="edge"/>
              <c:yMode val="edge"/>
              <c:x val="0.40896718729830905"/>
              <c:y val="0.9150128181651712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412189648"/>
        <c:crosses val="autoZero"/>
        <c:auto val="1"/>
        <c:lblAlgn val="ctr"/>
        <c:lblOffset val="100"/>
        <c:noMultiLvlLbl val="0"/>
      </c:catAx>
      <c:valAx>
        <c:axId val="141218964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Tomato Yield (t/acre)</a:t>
                </a:r>
              </a:p>
            </c:rich>
          </c:tx>
          <c:layout>
            <c:manualLayout>
              <c:xMode val="edge"/>
              <c:yMode val="edge"/>
              <c:x val="4.0849673202614381E-3"/>
              <c:y val="0.1685451898470047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412194640"/>
        <c:crosses val="autoZero"/>
        <c:crossBetween val="between"/>
      </c:valAx>
      <c:spPr>
        <a:noFill/>
        <a:ln>
          <a:noFill/>
        </a:ln>
        <a:effectLst/>
      </c:spPr>
    </c:plotArea>
    <c:legend>
      <c:legendPos val="r"/>
      <c:layout>
        <c:manualLayout>
          <c:xMode val="edge"/>
          <c:yMode val="edge"/>
          <c:x val="0.70310521846533891"/>
          <c:y val="3.8862093197838538E-2"/>
          <c:w val="0.29168500077196235"/>
          <c:h val="0.202033860905979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mn-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5816</Characters>
  <Application>Microsoft Office Word</Application>
  <DocSecurity>0</DocSecurity>
  <Lines>103</Lines>
  <Paragraphs>49</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Tautges</dc:creator>
  <cp:keywords/>
  <dc:description/>
  <cp:lastModifiedBy>Nicole E Tautges</cp:lastModifiedBy>
  <cp:revision>3</cp:revision>
  <dcterms:created xsi:type="dcterms:W3CDTF">2019-09-16T23:22:00Z</dcterms:created>
  <dcterms:modified xsi:type="dcterms:W3CDTF">2019-09-16T23:23:00Z</dcterms:modified>
</cp:coreProperties>
</file>